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8D94E" w14:textId="77777777" w:rsidR="00C923EB" w:rsidRDefault="003D42DD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Public Safety Personnel Retirement System</w:t>
      </w:r>
    </w:p>
    <w:p w14:paraId="72757C65" w14:textId="77777777" w:rsidR="00C923EB" w:rsidRDefault="003D42DD">
      <w:pPr>
        <w:pStyle w:val="Body"/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Pension Funding Policy</w:t>
      </w:r>
    </w:p>
    <w:p w14:paraId="203220A9" w14:textId="77777777" w:rsidR="00C923EB" w:rsidRDefault="00C923EB">
      <w:pPr>
        <w:pStyle w:val="Body"/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3E1BB183" w14:textId="77777777" w:rsidR="00F0721C" w:rsidRDefault="00F0721C">
      <w:pPr>
        <w:pStyle w:val="Body"/>
        <w:spacing w:after="0" w:line="240" w:lineRule="auto"/>
        <w:rPr>
          <w:rFonts w:ascii="Arial" w:hAnsi="Arial"/>
          <w:sz w:val="23"/>
          <w:szCs w:val="23"/>
        </w:rPr>
      </w:pPr>
    </w:p>
    <w:p w14:paraId="4775B852" w14:textId="77777777" w:rsidR="00C923EB" w:rsidRPr="000204EE" w:rsidRDefault="003D42DD">
      <w:pPr>
        <w:pStyle w:val="Body"/>
        <w:spacing w:after="0" w:line="240" w:lineRule="auto"/>
        <w:rPr>
          <w:rFonts w:ascii="Arial" w:hAnsi="Arial"/>
          <w:sz w:val="23"/>
          <w:szCs w:val="23"/>
        </w:rPr>
      </w:pPr>
      <w:r w:rsidRPr="000204EE">
        <w:rPr>
          <w:rFonts w:ascii="Arial" w:hAnsi="Arial"/>
          <w:sz w:val="23"/>
          <w:szCs w:val="23"/>
        </w:rPr>
        <w:t xml:space="preserve">This pension funding policy is done in accordance of </w:t>
      </w:r>
      <w:r w:rsidR="000204EE" w:rsidRPr="000204EE">
        <w:rPr>
          <w:rFonts w:ascii="Arial" w:hAnsi="Arial"/>
          <w:sz w:val="23"/>
          <w:szCs w:val="23"/>
        </w:rPr>
        <w:t>ARS § 38-386.01</w:t>
      </w:r>
      <w:r w:rsidRPr="000204EE">
        <w:rPr>
          <w:rFonts w:ascii="Arial" w:hAnsi="Arial"/>
          <w:sz w:val="23"/>
          <w:szCs w:val="23"/>
        </w:rPr>
        <w:t xml:space="preserve">. </w:t>
      </w:r>
      <w:r>
        <w:rPr>
          <w:rFonts w:ascii="Arial" w:hAnsi="Arial"/>
          <w:sz w:val="23"/>
          <w:szCs w:val="23"/>
        </w:rPr>
        <w:t xml:space="preserve">The following terms used throughout this policy are defined as: </w:t>
      </w:r>
    </w:p>
    <w:p w14:paraId="0A2CF171" w14:textId="77777777" w:rsidR="00C923EB" w:rsidRDefault="00C923EB">
      <w:pPr>
        <w:pStyle w:val="Body"/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</w:p>
    <w:p w14:paraId="793732BF" w14:textId="77777777" w:rsidR="00C923EB" w:rsidRDefault="003D42DD">
      <w:pPr>
        <w:pStyle w:val="Body"/>
        <w:spacing w:after="0" w:line="240" w:lineRule="auto"/>
        <w:ind w:left="360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Unfunded Actuarial Accrued Liability (UAAL) </w:t>
      </w:r>
      <w:r>
        <w:rPr>
          <w:rFonts w:ascii="Arial" w:hAnsi="Arial"/>
          <w:sz w:val="23"/>
          <w:szCs w:val="23"/>
        </w:rPr>
        <w:t xml:space="preserve">– Is the difference between trust assets and the estimated future cost of pensions earned by employees. </w:t>
      </w:r>
    </w:p>
    <w:p w14:paraId="55A2BA27" w14:textId="77777777" w:rsidR="00C923EB" w:rsidRDefault="00C923EB">
      <w:pPr>
        <w:pStyle w:val="Body"/>
        <w:spacing w:after="0" w:line="240" w:lineRule="auto"/>
        <w:ind w:left="360"/>
        <w:rPr>
          <w:rFonts w:ascii="Arial" w:eastAsia="Arial" w:hAnsi="Arial" w:cs="Arial"/>
          <w:b/>
          <w:bCs/>
          <w:sz w:val="23"/>
          <w:szCs w:val="23"/>
        </w:rPr>
      </w:pPr>
    </w:p>
    <w:p w14:paraId="5ECC523E" w14:textId="77777777" w:rsidR="00C923EB" w:rsidRDefault="003D42DD">
      <w:pPr>
        <w:pStyle w:val="Body"/>
        <w:spacing w:after="0" w:line="240" w:lineRule="auto"/>
        <w:ind w:left="360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Annual Required Contribution (ARC) </w:t>
      </w:r>
      <w:r>
        <w:rPr>
          <w:rFonts w:ascii="Arial" w:hAnsi="Arial"/>
          <w:sz w:val="23"/>
          <w:szCs w:val="23"/>
        </w:rPr>
        <w:t xml:space="preserve">– Is the annual amount required to pay into the pension funds, as determined through annual actuarial valuations. It is comprised of two primary components: normal pension cost – which is the estimated cost of pension benefits earned by employees in the current year; and, amortization of UAAL – which is the cost needed to cover the unfunded portion of pensions earned by employees in previous years. The UAAL is collected over a period of time referred to as the amortization period. The ARC is a percentage of the current payroll. </w:t>
      </w:r>
    </w:p>
    <w:p w14:paraId="5F7BF9D3" w14:textId="77777777" w:rsidR="00C923EB" w:rsidRDefault="00C923EB">
      <w:pPr>
        <w:pStyle w:val="Body"/>
        <w:spacing w:after="0" w:line="240" w:lineRule="auto"/>
        <w:ind w:left="360"/>
        <w:rPr>
          <w:rFonts w:ascii="Arial" w:eastAsia="Arial" w:hAnsi="Arial" w:cs="Arial"/>
          <w:b/>
          <w:bCs/>
          <w:sz w:val="23"/>
          <w:szCs w:val="23"/>
        </w:rPr>
      </w:pPr>
    </w:p>
    <w:p w14:paraId="322C03AC" w14:textId="77777777" w:rsidR="00C923EB" w:rsidRDefault="003D42DD">
      <w:pPr>
        <w:pStyle w:val="Body"/>
        <w:spacing w:after="0" w:line="240" w:lineRule="auto"/>
        <w:ind w:left="360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Funded Ratio </w:t>
      </w:r>
      <w:r>
        <w:rPr>
          <w:rFonts w:ascii="Arial" w:hAnsi="Arial"/>
          <w:sz w:val="23"/>
          <w:szCs w:val="23"/>
        </w:rPr>
        <w:t>– Is a ratio of fund assets to actuarial accrued liability.</w:t>
      </w:r>
    </w:p>
    <w:p w14:paraId="5D95A62A" w14:textId="77777777" w:rsidR="00C923EB" w:rsidRDefault="00C923EB">
      <w:pPr>
        <w:pStyle w:val="Body"/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51147A70" w14:textId="77777777" w:rsidR="00C923EB" w:rsidRDefault="003D42DD">
      <w:pPr>
        <w:pStyle w:val="Body"/>
        <w:spacing w:after="0" w:line="240" w:lineRule="auto"/>
        <w:rPr>
          <w:rFonts w:ascii="Arial" w:hAnsi="Arial"/>
          <w:sz w:val="23"/>
          <w:szCs w:val="23"/>
        </w:rPr>
      </w:pPr>
      <w:r>
        <w:t>T</w:t>
      </w:r>
      <w:r>
        <w:rPr>
          <w:rFonts w:ascii="Arial" w:hAnsi="Arial"/>
          <w:sz w:val="23"/>
          <w:szCs w:val="23"/>
        </w:rPr>
        <w:t xml:space="preserve">he Board formally accepts the assets, liabilities, and current funding ratio of the </w:t>
      </w:r>
      <w:r w:rsidRPr="000204EE">
        <w:rPr>
          <w:rFonts w:ascii="Arial" w:hAnsi="Arial"/>
          <w:sz w:val="23"/>
          <w:szCs w:val="23"/>
        </w:rPr>
        <w:t>county</w:t>
      </w:r>
      <w:r>
        <w:rPr>
          <w:rFonts w:ascii="Arial" w:hAnsi="Arial"/>
          <w:sz w:val="23"/>
          <w:szCs w:val="23"/>
        </w:rPr>
        <w:t>’s PSPRS trust funds as reported by PSPRS, the plan administrator from their June 30, 2017 actuarial valuation, which are detailed below.</w:t>
      </w:r>
    </w:p>
    <w:p w14:paraId="19AA0B15" w14:textId="77777777" w:rsidR="00F0721C" w:rsidRDefault="00F0721C">
      <w:pPr>
        <w:pStyle w:val="Body"/>
        <w:spacing w:after="0" w:line="240" w:lineRule="auto"/>
        <w:rPr>
          <w:rFonts w:ascii="Arial" w:eastAsia="Arial" w:hAnsi="Arial" w:cs="Arial"/>
          <w:sz w:val="23"/>
          <w:szCs w:val="23"/>
        </w:rPr>
      </w:pPr>
    </w:p>
    <w:tbl>
      <w:tblPr>
        <w:tblW w:w="98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28"/>
        <w:gridCol w:w="1908"/>
        <w:gridCol w:w="1910"/>
        <w:gridCol w:w="2194"/>
        <w:gridCol w:w="1170"/>
      </w:tblGrid>
      <w:tr w:rsidR="00C923EB" w14:paraId="19A287EC" w14:textId="77777777">
        <w:trPr>
          <w:trHeight w:val="727"/>
        </w:trPr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77E9CA" w14:textId="77777777" w:rsidR="00C923EB" w:rsidRDefault="003D42DD">
            <w:pPr>
              <w:pStyle w:val="Body"/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Trust Fund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50B6F6" w14:textId="77777777" w:rsidR="00C923EB" w:rsidRDefault="003D42DD"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 xml:space="preserve">Assets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87C745" w14:textId="77777777" w:rsidR="00C923EB" w:rsidRDefault="003D42DD"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Accrued Liability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F47BFB" w14:textId="77777777" w:rsidR="00C923EB" w:rsidRDefault="003D42DD"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Unfunded Actuarial Accrued Liability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4524D4" w14:textId="77777777" w:rsidR="00C923EB" w:rsidRDefault="003D42DD"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Funded Ratio</w:t>
            </w:r>
          </w:p>
        </w:tc>
      </w:tr>
      <w:tr w:rsidR="00C923EB" w14:paraId="3EA3C12B" w14:textId="77777777">
        <w:trPr>
          <w:trHeight w:val="567"/>
        </w:trPr>
        <w:tc>
          <w:tcPr>
            <w:tcW w:w="26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453756" w14:textId="1B23AB11" w:rsidR="00C923EB" w:rsidRDefault="00174930" w:rsidP="00F0721C"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3"/>
                <w:szCs w:val="23"/>
              </w:rPr>
              <w:t xml:space="preserve">Ex: </w:t>
            </w:r>
            <w:r w:rsidR="00F0721C">
              <w:rPr>
                <w:rFonts w:ascii="Arial" w:hAnsi="Arial"/>
                <w:sz w:val="23"/>
                <w:szCs w:val="23"/>
              </w:rPr>
              <w:t>Sheriff</w:t>
            </w:r>
            <w:r>
              <w:rPr>
                <w:rFonts w:ascii="Arial" w:hAnsi="Arial"/>
                <w:sz w:val="23"/>
                <w:szCs w:val="23"/>
              </w:rPr>
              <w:t>’s Office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68A678" w14:textId="6FC5163F" w:rsidR="00C923EB" w:rsidRDefault="00174930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sz w:val="23"/>
                <w:szCs w:val="23"/>
              </w:rPr>
              <w:t>$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C74DB1" w14:textId="722DABCB" w:rsidR="00C923EB" w:rsidRDefault="00174930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sz w:val="23"/>
                <w:szCs w:val="23"/>
              </w:rPr>
              <w:t>$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FC6221" w14:textId="5A448871" w:rsidR="00C923EB" w:rsidRDefault="00174930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sz w:val="23"/>
                <w:szCs w:val="23"/>
              </w:rPr>
              <w:t>$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4D7C3B" w14:textId="533A71BB" w:rsidR="00C923EB" w:rsidRDefault="00174930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sz w:val="23"/>
                <w:szCs w:val="23"/>
              </w:rPr>
              <w:t>%</w:t>
            </w:r>
          </w:p>
        </w:tc>
      </w:tr>
      <w:tr w:rsidR="00C923EB" w14:paraId="71314BFB" w14:textId="77777777">
        <w:trPr>
          <w:trHeight w:val="1082"/>
        </w:trPr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367161" w14:textId="77777777" w:rsidR="00C923EB" w:rsidRDefault="003D42DD"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3"/>
                <w:szCs w:val="23"/>
              </w:rPr>
              <w:t>Totals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A85926" w14:textId="77777777" w:rsidR="00C923EB" w:rsidRDefault="003D42DD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sz w:val="23"/>
                <w:szCs w:val="23"/>
              </w:rPr>
              <w:t>Sum of Above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70E882" w14:textId="77777777" w:rsidR="00C923EB" w:rsidRDefault="003D42DD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sz w:val="23"/>
                <w:szCs w:val="23"/>
              </w:rPr>
              <w:t>Sum of Above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94BE08" w14:textId="77777777" w:rsidR="00C923EB" w:rsidRDefault="003D42DD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sz w:val="23"/>
                <w:szCs w:val="23"/>
              </w:rPr>
              <w:t>Sum of Above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4B2E05" w14:textId="3CB088BB" w:rsidR="00C923EB" w:rsidRDefault="003D42DD">
            <w:pPr>
              <w:pStyle w:val="Body"/>
              <w:spacing w:after="0" w:line="240" w:lineRule="auto"/>
              <w:jc w:val="right"/>
            </w:pPr>
            <w:r>
              <w:rPr>
                <w:rFonts w:ascii="Arial" w:hAnsi="Arial"/>
                <w:sz w:val="23"/>
                <w:szCs w:val="23"/>
              </w:rPr>
              <w:t>Assets ÷ Accrued</w:t>
            </w:r>
            <w:r w:rsidR="00C96E7F">
              <w:rPr>
                <w:rFonts w:ascii="Arial" w:hAnsi="Arial"/>
                <w:sz w:val="23"/>
                <w:szCs w:val="23"/>
              </w:rPr>
              <w:t xml:space="preserve"> </w:t>
            </w:r>
            <w:r>
              <w:rPr>
                <w:rFonts w:ascii="Arial" w:hAnsi="Arial"/>
                <w:sz w:val="23"/>
                <w:szCs w:val="23"/>
              </w:rPr>
              <w:t>Liability</w:t>
            </w:r>
          </w:p>
        </w:tc>
      </w:tr>
    </w:tbl>
    <w:p w14:paraId="0B3CD80B" w14:textId="77777777" w:rsidR="00C923EB" w:rsidRDefault="00C923EB">
      <w:pPr>
        <w:pStyle w:val="Body"/>
        <w:widowControl w:val="0"/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3838DB37" w14:textId="77777777" w:rsidR="00C923EB" w:rsidRDefault="00C923EB">
      <w:pPr>
        <w:pStyle w:val="Body"/>
        <w:spacing w:after="0" w:line="240" w:lineRule="auto"/>
        <w:rPr>
          <w:rFonts w:ascii="Arial" w:eastAsia="Arial" w:hAnsi="Arial" w:cs="Arial"/>
          <w:sz w:val="23"/>
          <w:szCs w:val="23"/>
          <w:u w:val="single"/>
        </w:rPr>
      </w:pPr>
    </w:p>
    <w:p w14:paraId="783E8FD0" w14:textId="77777777" w:rsidR="00F0721C" w:rsidRDefault="00F0721C">
      <w:pPr>
        <w:pStyle w:val="Body"/>
        <w:spacing w:after="0" w:line="240" w:lineRule="auto"/>
        <w:rPr>
          <w:rFonts w:ascii="Arial" w:hAnsi="Arial"/>
          <w:b/>
          <w:bCs/>
          <w:sz w:val="23"/>
          <w:szCs w:val="23"/>
        </w:rPr>
      </w:pPr>
    </w:p>
    <w:p w14:paraId="13201FAB" w14:textId="77777777" w:rsidR="00C923EB" w:rsidRDefault="003D42DD">
      <w:pPr>
        <w:pStyle w:val="Body"/>
        <w:spacing w:after="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Consistent with the PSPRS’ Actuarial Funding Policy, the Board’s PSPRS funding ratio goal is 100% (fully funded) over a period of </w:t>
      </w:r>
      <w:r w:rsidR="00E5453D">
        <w:rPr>
          <w:rFonts w:ascii="Arial" w:hAnsi="Arial"/>
          <w:b/>
          <w:bCs/>
          <w:i/>
          <w:sz w:val="23"/>
          <w:szCs w:val="23"/>
          <w:u w:val="single"/>
        </w:rPr>
        <w:t>XX</w:t>
      </w:r>
      <w:r>
        <w:rPr>
          <w:rFonts w:ascii="Arial" w:hAnsi="Arial"/>
          <w:b/>
          <w:bCs/>
          <w:sz w:val="23"/>
          <w:szCs w:val="23"/>
        </w:rPr>
        <w:t xml:space="preserve"> years</w:t>
      </w:r>
      <w:r w:rsidR="000204EE">
        <w:rPr>
          <w:rFonts w:ascii="Arial" w:hAnsi="Arial"/>
          <w:b/>
          <w:bCs/>
          <w:sz w:val="23"/>
          <w:szCs w:val="23"/>
        </w:rPr>
        <w:t>*</w:t>
      </w:r>
      <w:r>
        <w:rPr>
          <w:rFonts w:ascii="Arial" w:hAnsi="Arial"/>
          <w:b/>
          <w:bCs/>
          <w:sz w:val="23"/>
          <w:szCs w:val="23"/>
        </w:rPr>
        <w:t xml:space="preserve">. </w:t>
      </w:r>
    </w:p>
    <w:p w14:paraId="526B9566" w14:textId="77777777" w:rsidR="00C923EB" w:rsidRDefault="00C923EB">
      <w:pPr>
        <w:pStyle w:val="Body"/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044F3F54" w14:textId="0AAC3245" w:rsidR="00C923EB" w:rsidRDefault="003D42DD">
      <w:pPr>
        <w:pStyle w:val="Body"/>
        <w:spacing w:after="0" w:line="240" w:lineRule="auto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The plan to achieve this goal requires full ARC payments (normal cost and UAAL amortization) from operating funds over the entire amortization period of </w:t>
      </w:r>
      <w:r w:rsidR="00E5453D">
        <w:rPr>
          <w:rFonts w:ascii="Arial" w:hAnsi="Arial"/>
          <w:i/>
          <w:sz w:val="23"/>
          <w:szCs w:val="23"/>
          <w:u w:val="single"/>
        </w:rPr>
        <w:t>XX</w:t>
      </w:r>
      <w:r>
        <w:rPr>
          <w:rFonts w:ascii="Arial" w:hAnsi="Arial"/>
          <w:sz w:val="23"/>
          <w:szCs w:val="23"/>
        </w:rPr>
        <w:t xml:space="preserve"> years</w:t>
      </w:r>
      <w:r w:rsidR="000204EE">
        <w:rPr>
          <w:rFonts w:ascii="Arial" w:hAnsi="Arial"/>
          <w:sz w:val="23"/>
          <w:szCs w:val="23"/>
        </w:rPr>
        <w:t>*</w:t>
      </w:r>
      <w:r>
        <w:rPr>
          <w:rFonts w:ascii="Arial" w:hAnsi="Arial"/>
          <w:sz w:val="23"/>
          <w:szCs w:val="23"/>
        </w:rPr>
        <w:t xml:space="preserve">. </w:t>
      </w:r>
      <w:r w:rsidR="000204EE">
        <w:rPr>
          <w:rFonts w:ascii="Arial" w:hAnsi="Arial"/>
          <w:sz w:val="23"/>
          <w:szCs w:val="23"/>
        </w:rPr>
        <w:t>The estimated ARC for FY19 is $</w:t>
      </w:r>
      <w:r w:rsidR="000204EE">
        <w:rPr>
          <w:rFonts w:ascii="Arial" w:hAnsi="Arial"/>
          <w:sz w:val="23"/>
          <w:szCs w:val="23"/>
          <w:u w:val="single"/>
        </w:rPr>
        <w:t xml:space="preserve">                   </w:t>
      </w:r>
      <w:r>
        <w:rPr>
          <w:rFonts w:ascii="Arial" w:hAnsi="Arial"/>
          <w:sz w:val="23"/>
          <w:szCs w:val="23"/>
        </w:rPr>
        <w:t>.</w:t>
      </w:r>
    </w:p>
    <w:p w14:paraId="6F3D21C0" w14:textId="77777777" w:rsidR="00A509B1" w:rsidRDefault="00A509B1">
      <w:pPr>
        <w:pStyle w:val="Body"/>
        <w:spacing w:after="0" w:line="240" w:lineRule="auto"/>
        <w:rPr>
          <w:rFonts w:ascii="Arial" w:hAnsi="Arial"/>
          <w:sz w:val="23"/>
          <w:szCs w:val="23"/>
        </w:rPr>
      </w:pPr>
    </w:p>
    <w:p w14:paraId="1744B159" w14:textId="5B7A3856" w:rsidR="00F0721C" w:rsidRPr="00F0721C" w:rsidRDefault="000204EE" w:rsidP="00F0721C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</w:t>
      </w:r>
      <w:bookmarkStart w:id="0" w:name="_GoBack"/>
      <w:bookmarkEnd w:id="0"/>
      <w:r>
        <w:rPr>
          <w:rFonts w:ascii="Arial" w:hAnsi="Arial" w:cs="Arial"/>
          <w:i/>
          <w:iCs/>
          <w:color w:val="000000"/>
          <w:sz w:val="23"/>
          <w:szCs w:val="23"/>
        </w:rPr>
        <w:t>Note: The plan to amortize the UAAL over an extended period of time is conditional on the accuracy of the actuarial assumptions. These assumptions are updated o</w:t>
      </w:r>
      <w:r w:rsidR="00A509B1">
        <w:rPr>
          <w:rFonts w:ascii="Arial" w:hAnsi="Arial" w:cs="Arial"/>
          <w:i/>
          <w:iCs/>
          <w:color w:val="000000"/>
          <w:sz w:val="23"/>
          <w:szCs w:val="23"/>
        </w:rPr>
        <w:t>n an annual basis and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the ARC as well as the amortization period may be adjusted.</w:t>
      </w:r>
    </w:p>
    <w:sectPr w:rsidR="00F0721C" w:rsidRPr="00F0721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FEEFC" w14:textId="77777777" w:rsidR="006F3104" w:rsidRDefault="006F3104">
      <w:r>
        <w:separator/>
      </w:r>
    </w:p>
  </w:endnote>
  <w:endnote w:type="continuationSeparator" w:id="0">
    <w:p w14:paraId="0FFC718F" w14:textId="77777777" w:rsidR="006F3104" w:rsidRDefault="006F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DB9F6" w14:textId="77777777" w:rsidR="00C923EB" w:rsidRDefault="00C923E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99F12" w14:textId="77777777" w:rsidR="006F3104" w:rsidRDefault="006F3104">
      <w:r>
        <w:separator/>
      </w:r>
    </w:p>
  </w:footnote>
  <w:footnote w:type="continuationSeparator" w:id="0">
    <w:p w14:paraId="0CA2A31F" w14:textId="77777777" w:rsidR="006F3104" w:rsidRDefault="006F3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6024C" w14:textId="77777777" w:rsidR="00C923EB" w:rsidRDefault="00C923E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23EB"/>
    <w:rsid w:val="000204EE"/>
    <w:rsid w:val="0003583F"/>
    <w:rsid w:val="0008433E"/>
    <w:rsid w:val="00174930"/>
    <w:rsid w:val="003D42DD"/>
    <w:rsid w:val="006F3104"/>
    <w:rsid w:val="00A509B1"/>
    <w:rsid w:val="00AE35DB"/>
    <w:rsid w:val="00C923EB"/>
    <w:rsid w:val="00C96E7F"/>
    <w:rsid w:val="00E5453D"/>
    <w:rsid w:val="00F0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2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unhideWhenUsed/>
    <w:rsid w:val="000204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unhideWhenUsed/>
    <w:rsid w:val="000204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Fielder</dc:creator>
  <cp:lastModifiedBy>Vanessa Fielder</cp:lastModifiedBy>
  <cp:revision>2</cp:revision>
  <cp:lastPrinted>2018-05-31T14:43:00Z</cp:lastPrinted>
  <dcterms:created xsi:type="dcterms:W3CDTF">2019-04-22T21:10:00Z</dcterms:created>
  <dcterms:modified xsi:type="dcterms:W3CDTF">2019-04-22T21:10:00Z</dcterms:modified>
</cp:coreProperties>
</file>